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ab/>
        <w:tab/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0"/>
          <w:color w:val="000000"/>
          <w:sz w:val="22"/>
          <w:szCs w:val="22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            </w:t>
      </w: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Kubla&amp;Architects s.r.o.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0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Ing. Ondřej Kubla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0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Podlesí 508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0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757 01   Valašské Meziříčí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Ve Vsetíně dne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25.1.2023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č.j.: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28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/20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rFonts w:ascii="Times New Roman" w:cs="Times New Roman" w:eastAsia="Times New Roman" w:hAnsi="Times New Roman"/>
          <w:b w:val="1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rtl w:val="0"/>
        </w:rPr>
        <w:t xml:space="preserve">Věc: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Vyjádření k existenci sítí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Arial" w:cs="Arial" w:eastAsia="Arial" w:hAnsi="Arial"/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Pro akci:       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 „</w:t>
      </w: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highlight w:val="white"/>
          <w:rtl w:val="0"/>
        </w:rPr>
        <w:t xml:space="preserve">Revitalizace Tržnice I. etapa – Krásenský břeh”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jc w:val="left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Žadatel:</w:t>
        <w:tab/>
      </w:r>
      <w:r w:rsidDel="00000000" w:rsidR="00000000" w:rsidRPr="00000000">
        <w:rPr>
          <w:b w:val="0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Kubla&amp;Architects s.r.o., Podlesí 508, 757 01   Valašské Meziříčí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jc w:val="left"/>
        <w:rPr>
          <w:rFonts w:ascii="Arial" w:cs="Arial" w:eastAsia="Arial" w:hAnsi="Arial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rtl w:val="0"/>
        </w:rPr>
        <w:t xml:space="preserve">Dotčené pozemky : k.ú. Krásno nad Bečvou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left"/>
        <w:rPr>
          <w:rFonts w:ascii="Times New Roman" w:cs="Times New Roman" w:eastAsia="Times New Roman" w:hAnsi="Times New Roman"/>
          <w:b w:val="0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znamujeme, že po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prostudování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Vámi zaslaných podkladů jsme zjistili, že při realizaci akce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nedojde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k dotčení sítí či zařízení společnosti SychrovNET s.r.o. Souhlasíme se stavbou a vydáním územního souhlasu/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rozhodnutí a stavebního povolení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013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Při změně rozsahu záměru či změně účelu uvedeného v žádosti pozbývá vyjádření platnosti. </w:t>
      </w:r>
    </w:p>
    <w:p w:rsidR="00000000" w:rsidDel="00000000" w:rsidP="00000000" w:rsidRDefault="00000000" w:rsidRPr="00000000" w14:paraId="00000015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Vyjádření má platnost 12 měsíců od data vystavení.     </w:t>
      </w:r>
    </w:p>
    <w:p w:rsidR="00000000" w:rsidDel="00000000" w:rsidP="00000000" w:rsidRDefault="00000000" w:rsidRPr="00000000" w14:paraId="00000016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3286125</wp:posOffset>
            </wp:positionH>
            <wp:positionV relativeFrom="paragraph">
              <wp:posOffset>219075</wp:posOffset>
            </wp:positionV>
            <wp:extent cx="1819275" cy="962025"/>
            <wp:effectExtent b="0" l="0" r="0" t="0"/>
            <wp:wrapNone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9620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8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S pozdravem</w:t>
      </w:r>
    </w:p>
    <w:p w:rsidR="00000000" w:rsidDel="00000000" w:rsidP="00000000" w:rsidRDefault="00000000" w:rsidRPr="00000000" w14:paraId="0000001A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za společnost SychrovNET s.r.o.</w:t>
      </w:r>
    </w:p>
    <w:p w:rsidR="00000000" w:rsidDel="00000000" w:rsidP="00000000" w:rsidRDefault="00000000" w:rsidRPr="00000000" w14:paraId="0000001B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Ivana Krajčíová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telefon: 571 999 111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krajciova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@sychrovnet.cz</w:t>
      </w:r>
    </w:p>
    <w:p w:rsidR="00000000" w:rsidDel="00000000" w:rsidP="00000000" w:rsidRDefault="00000000" w:rsidRPr="00000000" w14:paraId="0000001F">
      <w:pPr>
        <w:pageBreakBefore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2835" w:top="2268" w:left="2265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  <w:font w:name="Liberation San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3686" w:right="0" w:firstLine="0"/>
      <w:jc w:val="righ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  <w:drawing>
        <wp:inline distB="0" distT="0" distL="114935" distR="114935">
          <wp:extent cx="3154680" cy="1240155"/>
          <wp:effectExtent b="0" l="0" r="0" t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54680" cy="12401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SychrovNET s.r.o.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 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sídlo: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Bratří Hlaviců 89, 755 01 Vsetín /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3686" w:right="0" w:firstLine="0"/>
      <w:jc w:val="righ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provozovna: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Smetanova 1101, 755 01 Vsetín 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IČ: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26827921,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992" w:before="0" w:line="240" w:lineRule="auto"/>
      <w:ind w:left="3686" w:right="0" w:firstLine="0"/>
      <w:jc w:val="righ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DIČ: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CZ26827921/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tel: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+420 571 999 111 / info@sychrovnet.cz 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www.sychrovnet.cz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567" w:line="240" w:lineRule="auto"/>
      <w:ind w:left="0" w:right="0" w:firstLine="0"/>
      <w:jc w:val="lef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subscript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subscript"/>
      </w:rPr>
      <w:drawing>
        <wp:inline distB="0" distT="0" distL="114935" distR="114935">
          <wp:extent cx="719455" cy="725170"/>
          <wp:effectExtent b="0" l="0" r="0" t="0"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19455" cy="7251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b w:val="1"/>
        <w:color w:val="16419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40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40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36"/>
      <w:szCs w:val="36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