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BD" w:rsidRDefault="00BD3CBD">
      <w:pPr>
        <w:spacing w:after="0" w:line="259" w:lineRule="auto"/>
        <w:ind w:left="0" w:right="0" w:firstLine="0"/>
        <w:jc w:val="left"/>
      </w:pPr>
      <w:r w:rsidRPr="00BD3CBD">
        <w:rPr>
          <w:b/>
        </w:rPr>
        <w:t>Technické podmínky</w:t>
      </w:r>
      <w:r w:rsidRPr="00BD3CBD">
        <w:rPr>
          <w:b/>
        </w:rPr>
        <w:tab/>
      </w:r>
      <w:r w:rsidRPr="00F26973">
        <w:rPr>
          <w:color w:val="auto"/>
        </w:rPr>
        <w:t>(</w:t>
      </w:r>
      <w:proofErr w:type="gramStart"/>
      <w:r w:rsidR="00F26973" w:rsidRPr="00F26973">
        <w:rPr>
          <w:color w:val="auto"/>
        </w:rPr>
        <w:t>….</w:t>
      </w:r>
      <w:r w:rsidRPr="00F26973">
        <w:rPr>
          <w:color w:val="auto"/>
        </w:rPr>
        <w:t>název</w:t>
      </w:r>
      <w:proofErr w:type="gramEnd"/>
      <w:r w:rsidRPr="00F26973">
        <w:rPr>
          <w:color w:val="auto"/>
        </w:rPr>
        <w:t xml:space="preserve"> produktu + označení</w:t>
      </w:r>
      <w:bookmarkStart w:id="0" w:name="_GoBack"/>
      <w:bookmarkEnd w:id="0"/>
      <w:r w:rsidR="00F26973" w:rsidRPr="00F26973">
        <w:rPr>
          <w:color w:val="auto"/>
        </w:rPr>
        <w:t>….</w:t>
      </w:r>
      <w:r w:rsidRPr="00F26973">
        <w:rPr>
          <w:color w:val="auto"/>
        </w:rPr>
        <w:t>)</w:t>
      </w:r>
    </w:p>
    <w:p w:rsidR="00BD3CBD" w:rsidRDefault="00BD3CBD">
      <w:pPr>
        <w:spacing w:after="0" w:line="259" w:lineRule="auto"/>
        <w:ind w:left="0" w:right="0" w:firstLine="0"/>
        <w:jc w:val="left"/>
      </w:pPr>
    </w:p>
    <w:p w:rsidR="00BD3CBD" w:rsidRDefault="00BD3CBD">
      <w:pPr>
        <w:spacing w:after="0" w:line="259" w:lineRule="auto"/>
        <w:ind w:left="0" w:right="0" w:firstLine="0"/>
        <w:jc w:val="left"/>
      </w:pPr>
    </w:p>
    <w:p w:rsidR="00F76692" w:rsidRDefault="00DB4629">
      <w:pPr>
        <w:spacing w:after="0" w:line="259" w:lineRule="auto"/>
        <w:ind w:left="0" w:right="0" w:firstLine="0"/>
        <w:jc w:val="left"/>
      </w:pPr>
      <w:r>
        <w:t xml:space="preserve">č. žádosti JSDH-V2B-2025-00094 </w:t>
      </w:r>
    </w:p>
    <w:p w:rsidR="00F76692" w:rsidRDefault="00DB4629">
      <w:pPr>
        <w:spacing w:after="0" w:line="259" w:lineRule="auto"/>
        <w:ind w:right="-3"/>
        <w:jc w:val="right"/>
      </w:pPr>
      <w:r>
        <w:t xml:space="preserve">Město Valašské Meziříčí </w:t>
      </w:r>
    </w:p>
    <w:p w:rsidR="00F76692" w:rsidRDefault="00DB4629">
      <w:pPr>
        <w:spacing w:after="0" w:line="259" w:lineRule="auto"/>
        <w:ind w:right="-9"/>
        <w:jc w:val="right"/>
      </w:pPr>
      <w:r>
        <w:t xml:space="preserve">JPO Lhota </w:t>
      </w:r>
    </w:p>
    <w:p w:rsidR="00F76692" w:rsidRDefault="00DB4629">
      <w:pPr>
        <w:spacing w:after="0" w:line="259" w:lineRule="auto"/>
        <w:ind w:right="-9"/>
        <w:jc w:val="right"/>
      </w:pPr>
      <w:r>
        <w:t xml:space="preserve">IČO 00304387 </w:t>
      </w:r>
    </w:p>
    <w:p w:rsidR="00F76692" w:rsidRDefault="00DB4629">
      <w:pPr>
        <w:spacing w:after="0" w:line="259" w:lineRule="auto"/>
        <w:ind w:right="-3"/>
        <w:jc w:val="right"/>
      </w:pPr>
      <w:r>
        <w:t xml:space="preserve">Kraj Zlínský </w:t>
      </w:r>
    </w:p>
    <w:p w:rsidR="00F76692" w:rsidRDefault="00DB4629">
      <w:pPr>
        <w:spacing w:after="0" w:line="259" w:lineRule="auto"/>
        <w:ind w:left="0" w:right="0" w:firstLine="0"/>
        <w:jc w:val="left"/>
      </w:pPr>
      <w:r>
        <w:t xml:space="preserve"> </w:t>
      </w:r>
    </w:p>
    <w:p w:rsidR="00F76692" w:rsidRDefault="00DB4629">
      <w:pPr>
        <w:spacing w:after="0" w:line="259" w:lineRule="auto"/>
        <w:ind w:right="25"/>
        <w:jc w:val="center"/>
      </w:pPr>
      <w:r>
        <w:rPr>
          <w:b/>
        </w:rPr>
        <w:t xml:space="preserve">Technické podmínky  </w:t>
      </w:r>
    </w:p>
    <w:p w:rsidR="00F76692" w:rsidRDefault="00DB4629">
      <w:pPr>
        <w:spacing w:after="113" w:line="259" w:lineRule="auto"/>
        <w:ind w:right="25"/>
        <w:jc w:val="center"/>
      </w:pPr>
      <w:r>
        <w:rPr>
          <w:b/>
        </w:rPr>
        <w:t>pro požární přívěs pro hašení – nebrzděný do 750 kg</w:t>
      </w:r>
      <w:r>
        <w:t xml:space="preserve"> </w:t>
      </w:r>
    </w:p>
    <w:p w:rsidR="00F76692" w:rsidRDefault="00DB4629">
      <w:pPr>
        <w:numPr>
          <w:ilvl w:val="0"/>
          <w:numId w:val="1"/>
        </w:numPr>
        <w:ind w:hanging="421"/>
      </w:pPr>
      <w:r>
        <w:t xml:space="preserve">Předmětem technických podmínek je pořízení nového požárního přívěsu pro hašení (dále jen PH). </w:t>
      </w:r>
    </w:p>
    <w:p w:rsidR="00F76692" w:rsidRDefault="00DB4629">
      <w:pPr>
        <w:numPr>
          <w:ilvl w:val="0"/>
          <w:numId w:val="1"/>
        </w:numPr>
        <w:spacing w:after="11"/>
        <w:ind w:hanging="421"/>
      </w:pPr>
      <w:r>
        <w:t xml:space="preserve">PH splňuje požadavky:  </w:t>
      </w:r>
    </w:p>
    <w:p w:rsidR="00F76692" w:rsidRDefault="00DB4629">
      <w:pPr>
        <w:numPr>
          <w:ilvl w:val="1"/>
          <w:numId w:val="1"/>
        </w:numPr>
        <w:spacing w:after="0"/>
        <w:ind w:left="706" w:hanging="285"/>
      </w:pPr>
      <w:r>
        <w:t xml:space="preserve">předpisů pro provoz vozidel na pozemních komunikacích v ČR, a veškeré povinné údaje k provedení a vybavení PH včetně výjimek, které jsou uvedeny v dokumentaci nezbytné pro registraci PH, </w:t>
      </w:r>
    </w:p>
    <w:p w:rsidR="00F76692" w:rsidRDefault="00DB4629">
      <w:pPr>
        <w:numPr>
          <w:ilvl w:val="1"/>
          <w:numId w:val="1"/>
        </w:numPr>
        <w:spacing w:after="0"/>
        <w:ind w:left="706" w:hanging="285"/>
      </w:pPr>
      <w:r>
        <w:t xml:space="preserve">stanovené vyhláškou č. 35/2007 Sb., o technických podmínkách požární techniky, ve znění pozdějších předpisů, </w:t>
      </w:r>
    </w:p>
    <w:p w:rsidR="00F76692" w:rsidRDefault="00DB4629">
      <w:pPr>
        <w:numPr>
          <w:ilvl w:val="1"/>
          <w:numId w:val="1"/>
        </w:numPr>
        <w:spacing w:after="0"/>
        <w:ind w:left="706" w:hanging="285"/>
      </w:pPr>
      <w:r>
        <w:t xml:space="preserve">stanovené vyhláškou č. 247/2001 Sb., o organizaci a činnosti jednotek požární ochrany,  ve znění pozdějších předpisů, </w:t>
      </w:r>
    </w:p>
    <w:p w:rsidR="00F76692" w:rsidRDefault="00DB4629">
      <w:pPr>
        <w:ind w:left="431"/>
      </w:pPr>
      <w:r>
        <w:t xml:space="preserve">a požadavky uvedené v těchto technických podmínkách. </w:t>
      </w:r>
    </w:p>
    <w:p w:rsidR="00F76692" w:rsidRDefault="00DB4629">
      <w:pPr>
        <w:numPr>
          <w:ilvl w:val="0"/>
          <w:numId w:val="1"/>
        </w:numPr>
        <w:ind w:hanging="421"/>
      </w:pPr>
      <w:r>
        <w:t xml:space="preserve">Pro výrobu PH se používá pouze nový, dosud nepoužitý podvozek, který není v době převzetí kupujícím starší 18 měsíců a pro účelovou nástavbu pouze nové a originální součásti. </w:t>
      </w:r>
    </w:p>
    <w:p w:rsidR="00F76692" w:rsidRDefault="00DB4629">
      <w:pPr>
        <w:numPr>
          <w:ilvl w:val="0"/>
          <w:numId w:val="1"/>
        </w:numPr>
        <w:ind w:hanging="421"/>
      </w:pPr>
      <w:r>
        <w:t xml:space="preserve">Všechny položky požárního příslušenství a všechna zařízení použité pro montáž do PH splňují obecně stanovené bezpečnostní předpisy a jsou doložena návodem a příslušným dokladem (homologace, certifikát, prohlášení o shodě apod.). </w:t>
      </w:r>
    </w:p>
    <w:p w:rsidR="00F76692" w:rsidRDefault="00DB4629">
      <w:pPr>
        <w:numPr>
          <w:ilvl w:val="0"/>
          <w:numId w:val="1"/>
        </w:numPr>
        <w:ind w:hanging="421"/>
      </w:pPr>
      <w:r>
        <w:t xml:space="preserve">PH je konstruován s celkovou hmotností do 750 kg. </w:t>
      </w:r>
    </w:p>
    <w:p w:rsidR="00F76692" w:rsidRDefault="00DB4629">
      <w:pPr>
        <w:numPr>
          <w:ilvl w:val="0"/>
          <w:numId w:val="1"/>
        </w:numPr>
        <w:ind w:hanging="421"/>
      </w:pPr>
      <w:r>
        <w:t>Konstrukční rychlost PH je nejméně 100 km.h</w:t>
      </w:r>
      <w:r>
        <w:rPr>
          <w:sz w:val="21"/>
          <w:vertAlign w:val="superscript"/>
        </w:rPr>
        <w:t>-1</w:t>
      </w:r>
      <w:r>
        <w:t xml:space="preserve">. </w:t>
      </w:r>
    </w:p>
    <w:p w:rsidR="00F76692" w:rsidRDefault="00DB4629">
      <w:pPr>
        <w:numPr>
          <w:ilvl w:val="0"/>
          <w:numId w:val="1"/>
        </w:numPr>
        <w:ind w:hanging="421"/>
      </w:pPr>
      <w:r>
        <w:t xml:space="preserve">PH je vybaven skříňovou nástavbou s výklopnými dveřmi na zádi a obou bocích PH. Výklopné dveře umožňují při otevření ochranu uživatele před povětrnostními vlivy. Dveře lze uzamknout shodným klíčem. Ložná plocha PH je nejméně 1300 na 2300 mm. Nástavba je vybavena nejméně dvěma úložnými prostory po stranách a jedním úložným prostorem v zadní části pro uložení požárního příslušenství. Úložné prostory jsou přizpůsobeny pro bezpečné a ergonomické uložení technických prostředků, vkládání a vyjímaní všech technických prostředků bez nutnosti manipulace s jinými technickými prostředky. </w:t>
      </w:r>
    </w:p>
    <w:p w:rsidR="00F76692" w:rsidRDefault="00DB4629">
      <w:pPr>
        <w:numPr>
          <w:ilvl w:val="0"/>
          <w:numId w:val="1"/>
        </w:numPr>
        <w:ind w:hanging="421"/>
      </w:pPr>
      <w:r>
        <w:t xml:space="preserve">PH je proveden jako jednonápravový. Velikost disků kol je nejméně 13“. Kola jsou umístěna na vnějšku stanovené šířky ložné plochy, aby byla zajištěna vysoká stabilita při jízdě. </w:t>
      </w:r>
    </w:p>
    <w:p w:rsidR="00F76692" w:rsidRDefault="00DB4629">
      <w:pPr>
        <w:numPr>
          <w:ilvl w:val="0"/>
          <w:numId w:val="1"/>
        </w:numPr>
        <w:ind w:hanging="421"/>
      </w:pPr>
      <w:r>
        <w:t xml:space="preserve">Rám podvozku PH je vyroben z žárově zinkované oceli. Podlaha PH je z voděodolného materiálu. </w:t>
      </w:r>
    </w:p>
    <w:p w:rsidR="00F76692" w:rsidRDefault="00DB4629">
      <w:pPr>
        <w:numPr>
          <w:ilvl w:val="0"/>
          <w:numId w:val="1"/>
        </w:numPr>
        <w:ind w:hanging="421"/>
      </w:pPr>
      <w:r>
        <w:t xml:space="preserve">PH je vybaven spojovacím zařízením typu ISO-50X. </w:t>
      </w:r>
    </w:p>
    <w:p w:rsidR="00F76692" w:rsidRDefault="00DB4629">
      <w:pPr>
        <w:numPr>
          <w:ilvl w:val="0"/>
          <w:numId w:val="1"/>
        </w:numPr>
        <w:ind w:hanging="421"/>
      </w:pPr>
      <w:r>
        <w:t xml:space="preserve">PH je v zadní části vybaven sdruženými svítilnami v provedení LED. </w:t>
      </w:r>
    </w:p>
    <w:p w:rsidR="00F76692" w:rsidRDefault="00DB4629">
      <w:pPr>
        <w:numPr>
          <w:ilvl w:val="0"/>
          <w:numId w:val="1"/>
        </w:numPr>
        <w:ind w:hanging="421"/>
      </w:pPr>
      <w:r>
        <w:t xml:space="preserve">PH je vybaven zástrčkou a případně redukcí, které umožňují s 13 pólovou zásuvkou s napětím 12V. </w:t>
      </w:r>
    </w:p>
    <w:p w:rsidR="00F76692" w:rsidRDefault="00DB4629">
      <w:pPr>
        <w:numPr>
          <w:ilvl w:val="0"/>
          <w:numId w:val="1"/>
        </w:numPr>
        <w:ind w:hanging="421"/>
      </w:pPr>
      <w:r>
        <w:t xml:space="preserve">Součástí PH je povinná výbava přípojných vozidel stanovená právním předpisem. Veškeré příslušenství potřebné pro výměnu kola je umístěno v PH a je součástí dodávky, plnohodnotné náhradní kolo k PH je dodáno samostatně, příbalem. </w:t>
      </w:r>
    </w:p>
    <w:p w:rsidR="00F76692" w:rsidRDefault="00DB4629">
      <w:pPr>
        <w:numPr>
          <w:ilvl w:val="0"/>
          <w:numId w:val="1"/>
        </w:numPr>
        <w:spacing w:after="11"/>
        <w:ind w:hanging="421"/>
      </w:pPr>
      <w:r>
        <w:lastRenderedPageBreak/>
        <w:t xml:space="preserve">PH je dále vybaven: </w:t>
      </w:r>
    </w:p>
    <w:p w:rsidR="00F76692" w:rsidRDefault="00DB4629">
      <w:pPr>
        <w:numPr>
          <w:ilvl w:val="1"/>
          <w:numId w:val="1"/>
        </w:numPr>
        <w:spacing w:after="11"/>
        <w:ind w:left="706" w:hanging="285"/>
      </w:pPr>
      <w:r>
        <w:t xml:space="preserve">na oji manipulačním opěrným kolečkem, </w:t>
      </w:r>
    </w:p>
    <w:p w:rsidR="00F76692" w:rsidRDefault="00DB4629">
      <w:pPr>
        <w:numPr>
          <w:ilvl w:val="1"/>
          <w:numId w:val="1"/>
        </w:numPr>
        <w:spacing w:after="11"/>
        <w:ind w:left="706" w:hanging="285"/>
      </w:pPr>
      <w:r>
        <w:t xml:space="preserve">nejméně jednou stabilizační podpěrou poblíž rohu ložné plochy vzadu, </w:t>
      </w:r>
    </w:p>
    <w:p w:rsidR="00F76692" w:rsidRDefault="00DB4629">
      <w:pPr>
        <w:numPr>
          <w:ilvl w:val="1"/>
          <w:numId w:val="1"/>
        </w:numPr>
        <w:ind w:left="706" w:hanging="285"/>
      </w:pPr>
      <w:r>
        <w:t xml:space="preserve">nejméně dvěma zakládacími klíny. </w:t>
      </w:r>
    </w:p>
    <w:p w:rsidR="00F76692" w:rsidRDefault="00DB4629">
      <w:pPr>
        <w:numPr>
          <w:ilvl w:val="0"/>
          <w:numId w:val="1"/>
        </w:numPr>
        <w:ind w:hanging="421"/>
      </w:pPr>
      <w:r>
        <w:t xml:space="preserve">Pro barevnou úpravu PH je použita bílá barva odstínu RAL 9003, žlutozelená barva odstínu RAL 1026 a červená barva odstínu RAL 3020 podle vzorníku RAL 841 GL nebo obdobné barvy (celková barevná definice </w:t>
      </w:r>
      <w:proofErr w:type="spellStart"/>
      <w:r>
        <w:t>δE</w:t>
      </w:r>
      <w:proofErr w:type="spellEnd"/>
      <w:r>
        <w:t xml:space="preserve"> ≤ 3 od etalonu). </w:t>
      </w:r>
    </w:p>
    <w:p w:rsidR="00F76692" w:rsidRDefault="00DB4629">
      <w:pPr>
        <w:numPr>
          <w:ilvl w:val="0"/>
          <w:numId w:val="1"/>
        </w:numPr>
        <w:ind w:hanging="421"/>
      </w:pPr>
      <w:r>
        <w:t xml:space="preserve">Na zadní části PH jsou umístěny šikmé </w:t>
      </w:r>
      <w:proofErr w:type="spellStart"/>
      <w:r>
        <w:t>retroreflexní</w:t>
      </w:r>
      <w:proofErr w:type="spellEnd"/>
      <w:r>
        <w:t xml:space="preserve"> pruhy (šrafování) ve tvaru převráceného písmene „V“. </w:t>
      </w:r>
    </w:p>
    <w:p w:rsidR="00F76692" w:rsidRDefault="00DB4629">
      <w:pPr>
        <w:numPr>
          <w:ilvl w:val="0"/>
          <w:numId w:val="1"/>
        </w:numPr>
        <w:ind w:hanging="421"/>
      </w:pPr>
      <w:r>
        <w:t xml:space="preserve">Na zadní části PH je umístěn nápis „HASIČI“. </w:t>
      </w:r>
    </w:p>
    <w:p w:rsidR="00F76692" w:rsidRDefault="00DB4629">
      <w:pPr>
        <w:numPr>
          <w:ilvl w:val="0"/>
          <w:numId w:val="1"/>
        </w:numPr>
        <w:ind w:hanging="421"/>
      </w:pPr>
      <w:r>
        <w:t xml:space="preserve">Nápis „HASIČI“ je umístěn na obou bocích PH, tento nápis je doplněn názvem místa dislokace PH „LHOTA“. </w:t>
      </w:r>
    </w:p>
    <w:p w:rsidR="00F76692" w:rsidRDefault="00DB4629">
      <w:pPr>
        <w:numPr>
          <w:ilvl w:val="0"/>
          <w:numId w:val="1"/>
        </w:numPr>
        <w:ind w:hanging="421"/>
      </w:pPr>
      <w:r>
        <w:t xml:space="preserve">Pro osvětlení úložných prostor skříňové nástavby PH je použito neoslňujících světelných zdrojů typu osvětlovací lišty v provedení LED, s krytím nejméně IP 65, vyzařujících světlo bílé barvy a umístěných u obou vnitřních bočních stran každého uzávěru úložného prostoru v celé jeho výšce. Z důvodu mechanické odolnosti není přípustné řešení s využitím flexibilních LED pásků. Osvětlení úložných prostor se samočinně zapne po otevření a vypne po uzavření úložného prostoru. Osvětlení je napájeno z elektroinstalace tažného vozidla. </w:t>
      </w:r>
    </w:p>
    <w:p w:rsidR="00F76692" w:rsidRDefault="00DB4629">
      <w:pPr>
        <w:numPr>
          <w:ilvl w:val="0"/>
          <w:numId w:val="1"/>
        </w:numPr>
        <w:spacing w:after="11"/>
        <w:ind w:hanging="421"/>
      </w:pPr>
      <w:r>
        <w:t xml:space="preserve">PH je vybaven následujícími položkami požárního příslušenství: </w:t>
      </w:r>
    </w:p>
    <w:tbl>
      <w:tblPr>
        <w:tblStyle w:val="TableGrid"/>
        <w:tblW w:w="9372" w:type="dxa"/>
        <w:tblInd w:w="-8" w:type="dxa"/>
        <w:tblCellMar>
          <w:top w:w="49" w:type="dxa"/>
          <w:left w:w="83" w:type="dxa"/>
          <w:right w:w="5" w:type="dxa"/>
        </w:tblCellMar>
        <w:tblLook w:val="04A0" w:firstRow="1" w:lastRow="0" w:firstColumn="1" w:lastColumn="0" w:noHBand="0" w:noVBand="1"/>
      </w:tblPr>
      <w:tblGrid>
        <w:gridCol w:w="6098"/>
        <w:gridCol w:w="1141"/>
        <w:gridCol w:w="1142"/>
        <w:gridCol w:w="991"/>
      </w:tblGrid>
      <w:tr w:rsidR="00F76692">
        <w:trPr>
          <w:trHeight w:val="976"/>
        </w:trPr>
        <w:tc>
          <w:tcPr>
            <w:tcW w:w="6098"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0" w:right="0" w:firstLine="0"/>
              <w:jc w:val="left"/>
            </w:pPr>
            <w:r>
              <w:rPr>
                <w:b/>
              </w:rPr>
              <w:t xml:space="preserve">název požárního příslušenství </w:t>
            </w:r>
          </w:p>
        </w:tc>
        <w:tc>
          <w:tcPr>
            <w:tcW w:w="1141"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0" w:right="0" w:firstLine="0"/>
              <w:jc w:val="center"/>
            </w:pPr>
            <w:r>
              <w:rPr>
                <w:b/>
              </w:rPr>
              <w:t xml:space="preserve">počet kusů/párů </w:t>
            </w:r>
          </w:p>
        </w:tc>
        <w:tc>
          <w:tcPr>
            <w:tcW w:w="1142"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0" w:right="0" w:firstLine="0"/>
              <w:jc w:val="center"/>
            </w:pPr>
            <w:r>
              <w:rPr>
                <w:b/>
              </w:rPr>
              <w:t xml:space="preserve">dodá zadavatel </w:t>
            </w:r>
          </w:p>
        </w:tc>
        <w:tc>
          <w:tcPr>
            <w:tcW w:w="991"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60" w:right="0" w:firstLine="135"/>
              <w:jc w:val="left"/>
            </w:pPr>
            <w:r>
              <w:rPr>
                <w:b/>
              </w:rPr>
              <w:t xml:space="preserve">dodá výrobce </w:t>
            </w:r>
          </w:p>
        </w:tc>
      </w:tr>
      <w:tr w:rsidR="00F76692">
        <w:trPr>
          <w:trHeight w:val="361"/>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batoh pro umístění vybavení na lesní požáry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držák (vazák) hadicový v obalu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2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hadice požární izolovaná B, délka 20 m, podle ČSN 80 8711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6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6 </w:t>
            </w:r>
          </w:p>
        </w:tc>
      </w:tr>
      <w:tr w:rsidR="00F76692">
        <w:trPr>
          <w:trHeight w:val="361"/>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hadice požární izolovaná C, délka 20 m, podle ČSN 80 8711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8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8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hadice požární izolovaná D, délka 20 m, podle ČSN 80 8711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6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6 </w:t>
            </w:r>
          </w:p>
        </w:tc>
      </w:tr>
      <w:tr w:rsidR="00F76692">
        <w:trPr>
          <w:trHeight w:val="30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hadice sací 110, podle ČSN EN ISO 14 557, délka 2,5 m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4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4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kleště štípací pákové na tyče a svorníky, délka nejméně 600 mm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klíč k nadzemnímu hydrantu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61"/>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klíč k podzemnímu hydrantu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klíč na hadice a armatury B/C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2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klíč na sací hadice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2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kohout kulový přenosný B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koš sací 110 podle TP-TS/01-2007*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6"/>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koš sací plovoucí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koště cestářské podle TP-TS/12-2019*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krumpáč podle TP-TS/12-2019*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6"/>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lano ventilové, na vidlici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lastRenderedPageBreak/>
              <w:t xml:space="preserve">lano záchytné, na vidlici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lopata špičatá podle TP-TS/12-2019*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6"/>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můstek hadicový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2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nástavec hydrantový podle ČSN 38 9441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nosítka záchranná a evakuační skládací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objímka na hadici B v obalu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4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4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objímka na hadici C v obalu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4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4 </w:t>
            </w:r>
          </w:p>
        </w:tc>
      </w:tr>
      <w:tr w:rsidR="00F76692">
        <w:trPr>
          <w:trHeight w:val="346"/>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pila ruční na dřevo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proudnice B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1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proudnice kombinovaná C podle TP-TS/13-2019*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2"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2"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13" w:firstLine="0"/>
              <w:jc w:val="center"/>
            </w:pPr>
            <w:r>
              <w:t xml:space="preserve">2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proudnice kombinovaná D podle TP-TS/11-2019*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2 </w:t>
            </w:r>
          </w:p>
        </w:tc>
      </w:tr>
      <w:tr w:rsidR="00F76692">
        <w:trPr>
          <w:trHeight w:val="331"/>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přechod B/C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2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přechod C/D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2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2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přechod šroubení 110/B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příslušenství k motorové stříkačce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61"/>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přístroj hasicí CO2 přenosný s hasicí schopností 89B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rozdělovač B-CBC podle ČSN 38 9481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rozdělovač C-DCD podle ČSN 38 9481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sběrač 2 x 75 se zpětnou klapkou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46"/>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sekera požární bourací podle TP-TS/12-2019*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345"/>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souprava nástrojů základních podle </w:t>
            </w:r>
            <w:proofErr w:type="gramStart"/>
            <w:r>
              <w:t>TP</w:t>
            </w:r>
            <w:proofErr w:type="gramEnd"/>
            <w:r>
              <w:t>–</w:t>
            </w:r>
            <w:proofErr w:type="gramStart"/>
            <w:r>
              <w:t>TS/09</w:t>
            </w:r>
            <w:proofErr w:type="gramEnd"/>
            <w:r>
              <w:t xml:space="preserve">–2017*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r w:rsidR="00F76692">
        <w:trPr>
          <w:trHeight w:val="1366"/>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51" w:firstLine="0"/>
            </w:pPr>
            <w:r>
              <w:t xml:space="preserve">stříkačka motorová přenosná PS 15 - splňující technické podmínky stanovené přílohou č. 2 k vyhlášce č. 69/2014 Sb., o technických podmínkách věcných prostředků požární ochrany, a doložené při dodání stříkačky kopií certifikátu vydaného pro daný typ stříkačky autorizovanou osobou </w:t>
            </w:r>
          </w:p>
        </w:tc>
        <w:tc>
          <w:tcPr>
            <w:tcW w:w="1141"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vAlign w:val="center"/>
          </w:tcPr>
          <w:p w:rsidR="00F76692" w:rsidRDefault="00DB4629">
            <w:pPr>
              <w:spacing w:after="0" w:line="259" w:lineRule="auto"/>
              <w:ind w:left="0" w:right="40" w:firstLine="0"/>
              <w:jc w:val="center"/>
            </w:pPr>
            <w:r>
              <w:t xml:space="preserve">1 </w:t>
            </w:r>
          </w:p>
        </w:tc>
      </w:tr>
      <w:tr w:rsidR="00F76692">
        <w:trPr>
          <w:trHeight w:val="360"/>
        </w:trPr>
        <w:tc>
          <w:tcPr>
            <w:tcW w:w="6098"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0" w:firstLine="0"/>
              <w:jc w:val="left"/>
            </w:pPr>
            <w:r>
              <w:t xml:space="preserve">ventil přetlakový B </w:t>
            </w:r>
          </w:p>
        </w:tc>
        <w:tc>
          <w:tcPr>
            <w:tcW w:w="114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39" w:firstLine="0"/>
              <w:jc w:val="center"/>
            </w:pPr>
            <w:r>
              <w:t xml:space="preserve">1 </w:t>
            </w:r>
          </w:p>
        </w:tc>
        <w:tc>
          <w:tcPr>
            <w:tcW w:w="1142"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69" w:firstLine="0"/>
              <w:jc w:val="center"/>
            </w:pPr>
            <w:r>
              <w:t xml:space="preserve">0 </w:t>
            </w:r>
          </w:p>
        </w:tc>
        <w:tc>
          <w:tcPr>
            <w:tcW w:w="991" w:type="dxa"/>
            <w:tcBorders>
              <w:top w:val="single" w:sz="6" w:space="0" w:color="000000"/>
              <w:left w:val="single" w:sz="6" w:space="0" w:color="000000"/>
              <w:bottom w:val="single" w:sz="6" w:space="0" w:color="000000"/>
              <w:right w:val="single" w:sz="6" w:space="0" w:color="000000"/>
            </w:tcBorders>
          </w:tcPr>
          <w:p w:rsidR="00F76692" w:rsidRDefault="00DB4629">
            <w:pPr>
              <w:spacing w:after="0" w:line="259" w:lineRule="auto"/>
              <w:ind w:left="0" w:right="40" w:firstLine="0"/>
              <w:jc w:val="center"/>
            </w:pPr>
            <w:r>
              <w:t xml:space="preserve">1 </w:t>
            </w:r>
          </w:p>
        </w:tc>
      </w:tr>
    </w:tbl>
    <w:p w:rsidR="00F76692" w:rsidRDefault="00DB4629">
      <w:pPr>
        <w:spacing w:after="0" w:line="259" w:lineRule="auto"/>
        <w:ind w:left="0" w:right="0" w:firstLine="0"/>
        <w:jc w:val="left"/>
      </w:pPr>
      <w:r>
        <w:rPr>
          <w:b/>
        </w:rPr>
        <w:t xml:space="preserve">*Technické podmínky vydané MV-GŘ HZS ČR jsou veřejně dostupné ke stažení na webových stránkách: </w:t>
      </w:r>
    </w:p>
    <w:p w:rsidR="00F76692" w:rsidRDefault="00F26973">
      <w:pPr>
        <w:spacing w:after="136" w:line="223" w:lineRule="auto"/>
        <w:ind w:left="135" w:right="0" w:firstLine="0"/>
        <w:jc w:val="left"/>
      </w:pPr>
      <w:hyperlink r:id="rId7">
        <w:r w:rsidR="00DB4629">
          <w:rPr>
            <w:color w:val="001F5F"/>
            <w:u w:val="single" w:color="001F5F"/>
          </w:rPr>
          <w:t>www.hzscr.cz/clanek/katalog</w:t>
        </w:r>
      </w:hyperlink>
      <w:hyperlink r:id="rId8">
        <w:r w:rsidR="00DB4629">
          <w:rPr>
            <w:color w:val="001F5F"/>
            <w:u w:val="single" w:color="001F5F"/>
          </w:rPr>
          <w:t>-</w:t>
        </w:r>
      </w:hyperlink>
      <w:hyperlink r:id="rId9">
        <w:r w:rsidR="00DB4629">
          <w:rPr>
            <w:color w:val="001F5F"/>
            <w:u w:val="single" w:color="001F5F"/>
          </w:rPr>
          <w:t>vydanych</w:t>
        </w:r>
      </w:hyperlink>
      <w:hyperlink r:id="rId10">
        <w:r w:rsidR="00DB4629">
          <w:rPr>
            <w:color w:val="001F5F"/>
            <w:u w:val="single" w:color="001F5F"/>
          </w:rPr>
          <w:t>-</w:t>
        </w:r>
      </w:hyperlink>
      <w:hyperlink r:id="rId11">
        <w:r w:rsidR="00DB4629">
          <w:rPr>
            <w:color w:val="001F5F"/>
            <w:u w:val="single" w:color="001F5F"/>
          </w:rPr>
          <w:t>technickych</w:t>
        </w:r>
      </w:hyperlink>
      <w:hyperlink r:id="rId12">
        <w:r w:rsidR="00DB4629">
          <w:rPr>
            <w:color w:val="001F5F"/>
            <w:u w:val="single" w:color="001F5F"/>
          </w:rPr>
          <w:t>-</w:t>
        </w:r>
      </w:hyperlink>
      <w:hyperlink r:id="rId13">
        <w:r w:rsidR="00DB4629">
          <w:rPr>
            <w:color w:val="001F5F"/>
            <w:u w:val="single" w:color="001F5F"/>
          </w:rPr>
          <w:t>podminek</w:t>
        </w:r>
      </w:hyperlink>
      <w:hyperlink r:id="rId14">
        <w:r w:rsidR="00DB4629">
          <w:rPr>
            <w:color w:val="001F5F"/>
            <w:u w:val="single" w:color="001F5F"/>
          </w:rPr>
          <w:t>-</w:t>
        </w:r>
      </w:hyperlink>
      <w:hyperlink r:id="rId15">
        <w:r w:rsidR="00DB4629">
          <w:rPr>
            <w:color w:val="001F5F"/>
            <w:u w:val="single" w:color="001F5F"/>
          </w:rPr>
          <w:t>pozarni</w:t>
        </w:r>
      </w:hyperlink>
      <w:hyperlink r:id="rId16">
        <w:r w:rsidR="00DB4629">
          <w:rPr>
            <w:color w:val="001F5F"/>
            <w:u w:val="single" w:color="001F5F"/>
          </w:rPr>
          <w:t>-</w:t>
        </w:r>
      </w:hyperlink>
      <w:hyperlink r:id="rId17">
        <w:r w:rsidR="00DB4629">
          <w:rPr>
            <w:color w:val="001F5F"/>
            <w:u w:val="single" w:color="001F5F"/>
          </w:rPr>
          <w:t>techniky</w:t>
        </w:r>
      </w:hyperlink>
      <w:hyperlink r:id="rId18">
        <w:r w:rsidR="00DB4629">
          <w:rPr>
            <w:color w:val="001F5F"/>
            <w:u w:val="single" w:color="001F5F"/>
          </w:rPr>
          <w:t>-</w:t>
        </w:r>
      </w:hyperlink>
      <w:hyperlink r:id="rId19">
        <w:r w:rsidR="00DB4629">
          <w:rPr>
            <w:color w:val="001F5F"/>
            <w:u w:val="single" w:color="001F5F"/>
          </w:rPr>
          <w:t>a</w:t>
        </w:r>
      </w:hyperlink>
      <w:hyperlink r:id="rId20">
        <w:r w:rsidR="00DB4629">
          <w:rPr>
            <w:color w:val="001F5F"/>
            <w:u w:val="single" w:color="001F5F"/>
          </w:rPr>
          <w:t>-</w:t>
        </w:r>
      </w:hyperlink>
      <w:hyperlink r:id="rId21">
        <w:r w:rsidR="00DB4629">
          <w:rPr>
            <w:color w:val="001F5F"/>
            <w:u w:val="single" w:color="001F5F"/>
          </w:rPr>
          <w:t>vecnych</w:t>
        </w:r>
      </w:hyperlink>
      <w:hyperlink r:id="rId22"/>
      <w:hyperlink r:id="rId23">
        <w:r w:rsidR="00DB4629">
          <w:rPr>
            <w:color w:val="001F5F"/>
            <w:u w:val="single" w:color="001F5F"/>
          </w:rPr>
          <w:t>prostredku.aspx</w:t>
        </w:r>
      </w:hyperlink>
      <w:hyperlink r:id="rId24">
        <w:r w:rsidR="00DB4629">
          <w:rPr>
            <w:b/>
          </w:rPr>
          <w:t xml:space="preserve"> </w:t>
        </w:r>
      </w:hyperlink>
    </w:p>
    <w:p w:rsidR="00F76692" w:rsidRDefault="00DB4629">
      <w:pPr>
        <w:numPr>
          <w:ilvl w:val="0"/>
          <w:numId w:val="1"/>
        </w:numPr>
        <w:ind w:hanging="421"/>
      </w:pPr>
      <w:r>
        <w:t xml:space="preserve">V PH je úložný prostor organizován pro uložení vybraných položek požárního příslušenství následujícím způsobem: </w:t>
      </w:r>
    </w:p>
    <w:p w:rsidR="00F76692" w:rsidRDefault="00DB4629">
      <w:pPr>
        <w:spacing w:after="66"/>
        <w:ind w:left="-5"/>
      </w:pPr>
      <w:r>
        <w:t>a)</w:t>
      </w:r>
      <w:r>
        <w:rPr>
          <w:rFonts w:ascii="Arial" w:eastAsia="Arial" w:hAnsi="Arial" w:cs="Arial"/>
        </w:rPr>
        <w:t xml:space="preserve"> </w:t>
      </w:r>
      <w:r>
        <w:t xml:space="preserve">přední část PH: </w:t>
      </w:r>
    </w:p>
    <w:p w:rsidR="00F76692" w:rsidRDefault="00DB4629">
      <w:pPr>
        <w:numPr>
          <w:ilvl w:val="0"/>
          <w:numId w:val="2"/>
        </w:numPr>
        <w:spacing w:after="35"/>
        <w:ind w:left="857" w:hanging="361"/>
      </w:pPr>
      <w:r>
        <w:t xml:space="preserve">uložení samostatně po jednom kuse v úchytném prvku: </w:t>
      </w:r>
    </w:p>
    <w:p w:rsidR="00F76692" w:rsidRDefault="00DB4629">
      <w:pPr>
        <w:numPr>
          <w:ilvl w:val="1"/>
          <w:numId w:val="2"/>
        </w:numPr>
        <w:spacing w:after="11"/>
        <w:ind w:firstLine="796"/>
      </w:pPr>
      <w:r>
        <w:t xml:space="preserve">hadice požární izolovaná C 20 m </w:t>
      </w:r>
      <w:r>
        <w:tab/>
        <w:t xml:space="preserve">5 </w:t>
      </w:r>
      <w:r>
        <w:tab/>
        <w:t xml:space="preserve">ks, </w:t>
      </w:r>
    </w:p>
    <w:p w:rsidR="00F76692" w:rsidRDefault="00DB4629">
      <w:pPr>
        <w:numPr>
          <w:ilvl w:val="1"/>
          <w:numId w:val="2"/>
        </w:numPr>
        <w:spacing w:after="11"/>
        <w:ind w:firstLine="796"/>
      </w:pPr>
      <w:r>
        <w:t xml:space="preserve">hadice požární izolovaná B 20 m </w:t>
      </w:r>
      <w:r>
        <w:tab/>
        <w:t xml:space="preserve">3 </w:t>
      </w:r>
      <w:r>
        <w:tab/>
        <w:t xml:space="preserve">ks, </w:t>
      </w:r>
    </w:p>
    <w:p w:rsidR="00F76692" w:rsidRDefault="00DB4629">
      <w:pPr>
        <w:numPr>
          <w:ilvl w:val="1"/>
          <w:numId w:val="2"/>
        </w:numPr>
        <w:spacing w:after="140"/>
        <w:ind w:firstLine="796"/>
      </w:pPr>
      <w:r>
        <w:t xml:space="preserve">hadice požární izolovaná D 20 m </w:t>
      </w:r>
      <w:r>
        <w:tab/>
        <w:t xml:space="preserve">2 </w:t>
      </w:r>
      <w:r>
        <w:tab/>
        <w:t xml:space="preserve">ks, </w:t>
      </w:r>
    </w:p>
    <w:p w:rsidR="00F76692" w:rsidRDefault="00DB4629">
      <w:pPr>
        <w:numPr>
          <w:ilvl w:val="0"/>
          <w:numId w:val="2"/>
        </w:numPr>
        <w:spacing w:after="51"/>
        <w:ind w:left="857" w:hanging="361"/>
      </w:pPr>
      <w:r>
        <w:t xml:space="preserve">uložení v batohu: </w:t>
      </w:r>
    </w:p>
    <w:p w:rsidR="00BD3CBD" w:rsidRDefault="00DB4629">
      <w:pPr>
        <w:numPr>
          <w:ilvl w:val="1"/>
          <w:numId w:val="2"/>
        </w:numPr>
        <w:spacing w:after="62"/>
        <w:ind w:firstLine="796"/>
      </w:pPr>
      <w:r>
        <w:t xml:space="preserve">hadice požární izolovaná D 20 m </w:t>
      </w:r>
      <w:r>
        <w:tab/>
        <w:t>4</w:t>
      </w:r>
      <w:r w:rsidR="00BD3CBD">
        <w:tab/>
      </w:r>
      <w:r>
        <w:t xml:space="preserve">ks, </w:t>
      </w:r>
    </w:p>
    <w:p w:rsidR="00BD3CBD" w:rsidRDefault="00DB4629" w:rsidP="00BD3CBD">
      <w:pPr>
        <w:spacing w:after="62"/>
        <w:ind w:left="1652" w:firstLine="0"/>
      </w:pPr>
      <w:r>
        <w:rPr>
          <w:rFonts w:ascii="Wingdings" w:eastAsia="Wingdings" w:hAnsi="Wingdings" w:cs="Wingdings"/>
          <w:sz w:val="17"/>
        </w:rPr>
        <w:t>❑</w:t>
      </w:r>
      <w:r>
        <w:rPr>
          <w:rFonts w:ascii="Arial" w:eastAsia="Arial" w:hAnsi="Arial" w:cs="Arial"/>
          <w:sz w:val="17"/>
        </w:rPr>
        <w:t xml:space="preserve"> </w:t>
      </w:r>
      <w:r>
        <w:t xml:space="preserve">proudnice kombinovaná D </w:t>
      </w:r>
      <w:r>
        <w:tab/>
      </w:r>
      <w:r w:rsidR="00BD3CBD">
        <w:tab/>
      </w:r>
      <w:r>
        <w:t xml:space="preserve">2 </w:t>
      </w:r>
      <w:r w:rsidR="00BD3CBD">
        <w:tab/>
      </w:r>
      <w:r>
        <w:t xml:space="preserve">ks, </w:t>
      </w:r>
    </w:p>
    <w:p w:rsidR="00BD3CBD" w:rsidRDefault="00DB4629" w:rsidP="00BD3CBD">
      <w:pPr>
        <w:spacing w:after="62"/>
        <w:ind w:left="1652" w:firstLine="0"/>
      </w:pPr>
      <w:r>
        <w:rPr>
          <w:rFonts w:ascii="Wingdings" w:eastAsia="Wingdings" w:hAnsi="Wingdings" w:cs="Wingdings"/>
          <w:sz w:val="17"/>
        </w:rPr>
        <w:t>❑</w:t>
      </w:r>
      <w:r>
        <w:rPr>
          <w:rFonts w:ascii="Arial" w:eastAsia="Arial" w:hAnsi="Arial" w:cs="Arial"/>
          <w:sz w:val="17"/>
        </w:rPr>
        <w:t xml:space="preserve"> </w:t>
      </w:r>
      <w:r>
        <w:t xml:space="preserve">rozdělovač C-DCD </w:t>
      </w:r>
      <w:r>
        <w:tab/>
      </w:r>
      <w:r w:rsidR="00BD3CBD">
        <w:tab/>
      </w:r>
      <w:r w:rsidR="00BD3CBD">
        <w:tab/>
      </w:r>
      <w:r>
        <w:t xml:space="preserve">1 </w:t>
      </w:r>
      <w:r w:rsidR="00BD3CBD">
        <w:tab/>
      </w:r>
      <w:r>
        <w:t xml:space="preserve">ks. </w:t>
      </w:r>
    </w:p>
    <w:p w:rsidR="00F76692" w:rsidRDefault="00DB4629" w:rsidP="00BD3CBD">
      <w:pPr>
        <w:spacing w:after="62"/>
      </w:pPr>
      <w:r>
        <w:t>b)</w:t>
      </w:r>
      <w:r>
        <w:rPr>
          <w:rFonts w:ascii="Arial" w:eastAsia="Arial" w:hAnsi="Arial" w:cs="Arial"/>
        </w:rPr>
        <w:t xml:space="preserve"> </w:t>
      </w:r>
      <w:r>
        <w:t xml:space="preserve">zadní část PH </w:t>
      </w:r>
    </w:p>
    <w:p w:rsidR="00F76692" w:rsidRDefault="00DB4629">
      <w:pPr>
        <w:numPr>
          <w:ilvl w:val="0"/>
          <w:numId w:val="2"/>
        </w:numPr>
        <w:spacing w:after="50"/>
        <w:ind w:left="857" w:hanging="361"/>
      </w:pPr>
      <w:r>
        <w:t xml:space="preserve">uložení ve dvou kazetách na hadice s odklápěcí bočnicí: </w:t>
      </w:r>
    </w:p>
    <w:p w:rsidR="00F76692" w:rsidRDefault="00DB4629">
      <w:pPr>
        <w:numPr>
          <w:ilvl w:val="1"/>
          <w:numId w:val="2"/>
        </w:numPr>
        <w:spacing w:after="11"/>
        <w:ind w:firstLine="796"/>
      </w:pPr>
      <w:r>
        <w:t xml:space="preserve">hadice požární izolovaná C 20 m </w:t>
      </w:r>
      <w:r>
        <w:tab/>
        <w:t xml:space="preserve">3 </w:t>
      </w:r>
      <w:r>
        <w:tab/>
        <w:t xml:space="preserve">ks </w:t>
      </w:r>
    </w:p>
    <w:p w:rsidR="00F76692" w:rsidRDefault="00DB4629">
      <w:pPr>
        <w:numPr>
          <w:ilvl w:val="1"/>
          <w:numId w:val="2"/>
        </w:numPr>
        <w:ind w:firstLine="796"/>
      </w:pPr>
      <w:r>
        <w:t xml:space="preserve">hadice požární izolovaná B 20 m </w:t>
      </w:r>
      <w:r>
        <w:tab/>
        <w:t xml:space="preserve">3 </w:t>
      </w:r>
      <w:r>
        <w:tab/>
        <w:t xml:space="preserve">ks </w:t>
      </w:r>
    </w:p>
    <w:p w:rsidR="00F76692" w:rsidRDefault="00DB4629">
      <w:pPr>
        <w:numPr>
          <w:ilvl w:val="0"/>
          <w:numId w:val="2"/>
        </w:numPr>
        <w:spacing w:after="51"/>
        <w:ind w:left="857" w:hanging="361"/>
      </w:pPr>
      <w:r>
        <w:t xml:space="preserve">uložení na vodorovném výsuvném prvku: </w:t>
      </w:r>
    </w:p>
    <w:p w:rsidR="00F76692" w:rsidRDefault="00DB4629">
      <w:pPr>
        <w:numPr>
          <w:ilvl w:val="1"/>
          <w:numId w:val="2"/>
        </w:numPr>
        <w:ind w:firstLine="796"/>
      </w:pPr>
      <w:r>
        <w:t xml:space="preserve">stříkačka motorová přenosná </w:t>
      </w:r>
      <w:r>
        <w:tab/>
      </w:r>
      <w:r w:rsidR="00BD3CBD">
        <w:tab/>
      </w:r>
      <w:r>
        <w:t xml:space="preserve">1 </w:t>
      </w:r>
      <w:r>
        <w:tab/>
        <w:t xml:space="preserve">ks. </w:t>
      </w:r>
    </w:p>
    <w:p w:rsidR="00F76692" w:rsidRDefault="00DB4629">
      <w:pPr>
        <w:numPr>
          <w:ilvl w:val="0"/>
          <w:numId w:val="3"/>
        </w:numPr>
        <w:ind w:hanging="421"/>
      </w:pPr>
      <w:r>
        <w:t xml:space="preserve">Drobné požární příslušenství je uloženo nejméně ve dvou přenosných přepravkách. </w:t>
      </w:r>
    </w:p>
    <w:p w:rsidR="00F76692" w:rsidRDefault="00DB4629">
      <w:pPr>
        <w:numPr>
          <w:ilvl w:val="0"/>
          <w:numId w:val="3"/>
        </w:numPr>
        <w:ind w:hanging="421"/>
      </w:pPr>
      <w:r>
        <w:t xml:space="preserve">Do PH může být volitelně umístěno dodatečné požární příslušenství ve výměnných přepravkách (dále jen „modulech“), kterými lze dle potřeby výměnou nahrazovat některé položky základního požárního příslušenství. Na všech modulech je znázorněna nejvyšší možná nosnost tak, aby po výměně nebyla překročena největší přípustná hmotnost přívěsu. Každý modul lze snadno upevnit v PH. Pro barevnou úpravu modulů je použita odlišná barva, tak aby byla odlišena barva standardní výbavy a výbavy variabilní, doplněné uživatelem. </w:t>
      </w:r>
    </w:p>
    <w:p w:rsidR="00F76692" w:rsidRDefault="00DB4629">
      <w:pPr>
        <w:numPr>
          <w:ilvl w:val="0"/>
          <w:numId w:val="3"/>
        </w:numPr>
        <w:ind w:hanging="421"/>
      </w:pPr>
      <w:r>
        <w:t xml:space="preserve">Úchytné a úložné prvky v prostorech pro uložení požárního příslušenství jsou provedeny z lehkého kovu nebo jiného materiálu, s vysokou životností. </w:t>
      </w:r>
    </w:p>
    <w:p w:rsidR="00F76692" w:rsidRDefault="00DB4629">
      <w:pPr>
        <w:spacing w:after="94" w:line="259" w:lineRule="auto"/>
        <w:ind w:left="421" w:right="0" w:firstLine="0"/>
        <w:jc w:val="left"/>
      </w:pPr>
      <w:r>
        <w:t xml:space="preserve"> </w:t>
      </w:r>
    </w:p>
    <w:p w:rsidR="00F76692" w:rsidRDefault="00DB4629">
      <w:pPr>
        <w:ind w:left="-5"/>
      </w:pPr>
      <w:r>
        <w:t xml:space="preserve">Tuto technickou specifikaci vypracoval a případné zpřesňující údaje může poskytnout pan Václav Ondřej, email ondrej@muvalmez.cz, telefon 602 755 348. </w:t>
      </w:r>
    </w:p>
    <w:p w:rsidR="00F76692" w:rsidRDefault="00DB4629">
      <w:pPr>
        <w:spacing w:after="94" w:line="259" w:lineRule="auto"/>
        <w:ind w:left="0" w:right="0" w:firstLine="0"/>
        <w:jc w:val="left"/>
      </w:pPr>
      <w:r>
        <w:t xml:space="preserve"> </w:t>
      </w:r>
    </w:p>
    <w:p w:rsidR="00BD3CBD" w:rsidRPr="00E43585" w:rsidRDefault="00BD3CBD" w:rsidP="00BD3CBD">
      <w:pPr>
        <w:ind w:left="-5"/>
        <w:rPr>
          <w:b/>
        </w:rPr>
      </w:pPr>
      <w:r w:rsidRPr="00E43585">
        <w:rPr>
          <w:b/>
        </w:rPr>
        <w:t>Čestně prohlašuji, že požární přívěs pro hašení (typ/ označení přívěsu)………………..(výrobní číslo)………….(rok výroby) …………</w:t>
      </w:r>
      <w:proofErr w:type="gramStart"/>
      <w:r w:rsidRPr="00E43585">
        <w:rPr>
          <w:b/>
        </w:rPr>
        <w:t>…..splňuje</w:t>
      </w:r>
      <w:proofErr w:type="gramEnd"/>
      <w:r w:rsidRPr="00E43585">
        <w:rPr>
          <w:b/>
        </w:rPr>
        <w:t xml:space="preserve"> veškeré technické podmínky a požadavky stanovené pro tento druh zařízení, zejména:</w:t>
      </w:r>
    </w:p>
    <w:p w:rsidR="00BD3CBD" w:rsidRDefault="00BD3CBD" w:rsidP="00BD3CBD">
      <w:pPr>
        <w:pStyle w:val="Odstavecseseznamem"/>
        <w:numPr>
          <w:ilvl w:val="0"/>
          <w:numId w:val="4"/>
        </w:numPr>
      </w:pPr>
      <w:r>
        <w:t>odpovídá technickým parametrům a vybavení dle zadání,</w:t>
      </w:r>
    </w:p>
    <w:p w:rsidR="00BD3CBD" w:rsidRDefault="00BD3CBD" w:rsidP="00BD3CBD">
      <w:pPr>
        <w:pStyle w:val="Odstavecseseznamem"/>
        <w:numPr>
          <w:ilvl w:val="0"/>
          <w:numId w:val="4"/>
        </w:numPr>
      </w:pPr>
      <w:r>
        <w:t xml:space="preserve">konstrukce, brzdová soustava, osvětlení, elektroinstalace a ostatní části jsou v souladu s platnými právními předpisy a technickými normami (např. ČSN, </w:t>
      </w:r>
      <w:r w:rsidR="005208C9">
        <w:t xml:space="preserve">vyhláška </w:t>
      </w:r>
      <w:r>
        <w:t>č. 153/2023 Sb., vyhláška o schvalování technické způsobilosti vozidel a technických podmínkách provozu vozidel na pozemních komunikacích),</w:t>
      </w:r>
    </w:p>
    <w:p w:rsidR="00BD3CBD" w:rsidRDefault="00BD3CBD" w:rsidP="00BD3CBD">
      <w:pPr>
        <w:pStyle w:val="Odstavecseseznamem"/>
        <w:numPr>
          <w:ilvl w:val="0"/>
          <w:numId w:val="4"/>
        </w:numPr>
      </w:pPr>
      <w:r>
        <w:t>přívěs je provozuschopný a bezpečný pro účely požární ochrany.</w:t>
      </w:r>
    </w:p>
    <w:p w:rsidR="00BD3CBD" w:rsidRDefault="00BD3CBD" w:rsidP="00BD3CBD">
      <w:pPr>
        <w:ind w:left="-5"/>
      </w:pPr>
    </w:p>
    <w:p w:rsidR="00BD3CBD" w:rsidRDefault="00BD3CBD" w:rsidP="00BD3CBD">
      <w:pPr>
        <w:ind w:left="-5"/>
      </w:pPr>
      <w:r>
        <w:t>Zároveň prohlašuji, že všechny uvedené údaje jsou pravdivé a že si jsem vědom/a právních n</w:t>
      </w:r>
      <w:r w:rsidR="00E43585">
        <w:t xml:space="preserve">ásledků nepravdivého prohlášení. </w:t>
      </w:r>
    </w:p>
    <w:p w:rsidR="00BD3CBD" w:rsidRDefault="00BD3CBD" w:rsidP="00BD3CBD">
      <w:pPr>
        <w:ind w:left="-5"/>
      </w:pPr>
    </w:p>
    <w:p w:rsidR="00BD3CBD" w:rsidRDefault="00BD3CBD" w:rsidP="00BD3CBD">
      <w:pPr>
        <w:ind w:left="-5"/>
      </w:pPr>
      <w:r>
        <w:t>V ........................................ dne ..............................</w:t>
      </w:r>
    </w:p>
    <w:p w:rsidR="00BD3CBD" w:rsidRDefault="00BD3CBD" w:rsidP="00BD3CBD">
      <w:pPr>
        <w:ind w:left="-5"/>
      </w:pPr>
    </w:p>
    <w:p w:rsidR="00BD3CBD" w:rsidRDefault="00BD3CBD" w:rsidP="00BD3CBD">
      <w:pPr>
        <w:ind w:left="-5"/>
      </w:pPr>
      <w:r>
        <w:t>......................................................</w:t>
      </w:r>
    </w:p>
    <w:p w:rsidR="00BD3CBD" w:rsidRPr="00F26973" w:rsidRDefault="00BD3CBD" w:rsidP="00BD3CBD">
      <w:pPr>
        <w:ind w:left="-5"/>
        <w:rPr>
          <w:color w:val="auto"/>
        </w:rPr>
      </w:pPr>
      <w:r w:rsidRPr="00F26973">
        <w:rPr>
          <w:color w:val="auto"/>
        </w:rPr>
        <w:t>Podpis</w:t>
      </w:r>
    </w:p>
    <w:sectPr w:rsidR="00BD3CBD" w:rsidRPr="00F26973">
      <w:footerReference w:type="even" r:id="rId25"/>
      <w:footerReference w:type="default" r:id="rId26"/>
      <w:footerReference w:type="first" r:id="rId27"/>
      <w:pgSz w:w="11910" w:h="16845"/>
      <w:pgMar w:top="998" w:right="984" w:bottom="1415" w:left="1412" w:header="708" w:footer="6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5A0" w:rsidRDefault="00DB4629">
      <w:pPr>
        <w:spacing w:after="0" w:line="240" w:lineRule="auto"/>
      </w:pPr>
      <w:r>
        <w:separator/>
      </w:r>
    </w:p>
  </w:endnote>
  <w:endnote w:type="continuationSeparator" w:id="0">
    <w:p w:rsidR="00EC15A0" w:rsidRDefault="00DB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92" w:rsidRDefault="00DB4629">
    <w:pPr>
      <w:spacing w:after="0" w:line="259" w:lineRule="auto"/>
      <w:ind w:left="0" w:right="8" w:firstLine="0"/>
      <w:jc w:val="righ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w:t>
    </w:r>
    <w:fldSimple w:instr=" NUMPAGES   \* MERGEFORMAT ">
      <w:r>
        <w:rPr>
          <w:rFonts w:ascii="Times New Roman" w:eastAsia="Times New Roman" w:hAnsi="Times New Roman" w:cs="Times New Roman"/>
          <w:b/>
          <w:sz w:val="24"/>
        </w:rPr>
        <w:t>4</w:t>
      </w:r>
    </w:fldSimple>
    <w:r>
      <w:rPr>
        <w:rFonts w:ascii="Times New Roman" w:eastAsia="Times New Roman" w:hAnsi="Times New Roman" w:cs="Times New Roman"/>
        <w:sz w:val="24"/>
      </w:rPr>
      <w:t xml:space="preserve"> </w:t>
    </w:r>
  </w:p>
  <w:p w:rsidR="00F76692" w:rsidRDefault="00DB4629">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92" w:rsidRDefault="00DB4629">
    <w:pPr>
      <w:spacing w:after="0" w:line="259" w:lineRule="auto"/>
      <w:ind w:left="0" w:right="8" w:firstLine="0"/>
      <w:jc w:val="right"/>
    </w:pPr>
    <w:r>
      <w:fldChar w:fldCharType="begin"/>
    </w:r>
    <w:r>
      <w:instrText xml:space="preserve"> PAGE   \* MERGEFORMAT </w:instrText>
    </w:r>
    <w:r>
      <w:fldChar w:fldCharType="separate"/>
    </w:r>
    <w:r w:rsidR="00F26973" w:rsidRPr="00F26973">
      <w:rPr>
        <w:rFonts w:ascii="Times New Roman" w:eastAsia="Times New Roman" w:hAnsi="Times New Roman" w:cs="Times New Roman"/>
        <w:b/>
        <w:noProof/>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w:t>
    </w:r>
    <w:fldSimple w:instr=" NUMPAGES   \* MERGEFORMAT ">
      <w:r w:rsidR="00F26973" w:rsidRPr="00F26973">
        <w:rPr>
          <w:rFonts w:ascii="Times New Roman" w:eastAsia="Times New Roman" w:hAnsi="Times New Roman" w:cs="Times New Roman"/>
          <w:b/>
          <w:noProof/>
          <w:sz w:val="24"/>
        </w:rPr>
        <w:t>4</w:t>
      </w:r>
    </w:fldSimple>
    <w:r>
      <w:rPr>
        <w:rFonts w:ascii="Times New Roman" w:eastAsia="Times New Roman" w:hAnsi="Times New Roman" w:cs="Times New Roman"/>
        <w:sz w:val="24"/>
      </w:rPr>
      <w:t xml:space="preserve"> </w:t>
    </w:r>
  </w:p>
  <w:p w:rsidR="00F76692" w:rsidRDefault="00DB4629">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92" w:rsidRDefault="00DB4629">
    <w:pPr>
      <w:spacing w:after="0" w:line="259" w:lineRule="auto"/>
      <w:ind w:left="0" w:right="8" w:firstLine="0"/>
      <w:jc w:val="righ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w:t>
    </w:r>
    <w:fldSimple w:instr=" NUMPAGES   \* MERGEFORMAT ">
      <w:r>
        <w:rPr>
          <w:rFonts w:ascii="Times New Roman" w:eastAsia="Times New Roman" w:hAnsi="Times New Roman" w:cs="Times New Roman"/>
          <w:b/>
          <w:sz w:val="24"/>
        </w:rPr>
        <w:t>4</w:t>
      </w:r>
    </w:fldSimple>
    <w:r>
      <w:rPr>
        <w:rFonts w:ascii="Times New Roman" w:eastAsia="Times New Roman" w:hAnsi="Times New Roman" w:cs="Times New Roman"/>
        <w:sz w:val="24"/>
      </w:rPr>
      <w:t xml:space="preserve"> </w:t>
    </w:r>
  </w:p>
  <w:p w:rsidR="00F76692" w:rsidRDefault="00DB4629">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5A0" w:rsidRDefault="00DB4629">
      <w:pPr>
        <w:spacing w:after="0" w:line="240" w:lineRule="auto"/>
      </w:pPr>
      <w:r>
        <w:separator/>
      </w:r>
    </w:p>
  </w:footnote>
  <w:footnote w:type="continuationSeparator" w:id="0">
    <w:p w:rsidR="00EC15A0" w:rsidRDefault="00DB4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901F2"/>
    <w:multiLevelType w:val="hybridMultilevel"/>
    <w:tmpl w:val="B56EB0B6"/>
    <w:lvl w:ilvl="0" w:tplc="E4566D92">
      <w:start w:val="1"/>
      <w:numFmt w:val="decimal"/>
      <w:lvlText w:val="%1."/>
      <w:lvlJc w:val="left"/>
      <w:pPr>
        <w:ind w:left="4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3E49352">
      <w:start w:val="1"/>
      <w:numFmt w:val="lowerLetter"/>
      <w:lvlText w:val="%2)"/>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C9A5E32">
      <w:start w:val="1"/>
      <w:numFmt w:val="lowerRoman"/>
      <w:lvlText w:val="%3"/>
      <w:lvlJc w:val="left"/>
      <w:pPr>
        <w:ind w:left="15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B30EA2C">
      <w:start w:val="1"/>
      <w:numFmt w:val="decimal"/>
      <w:lvlText w:val="%4"/>
      <w:lvlJc w:val="left"/>
      <w:pPr>
        <w:ind w:left="22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11C19EA">
      <w:start w:val="1"/>
      <w:numFmt w:val="lowerLetter"/>
      <w:lvlText w:val="%5"/>
      <w:lvlJc w:val="left"/>
      <w:pPr>
        <w:ind w:left="29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308FB1E">
      <w:start w:val="1"/>
      <w:numFmt w:val="lowerRoman"/>
      <w:lvlText w:val="%6"/>
      <w:lvlJc w:val="left"/>
      <w:pPr>
        <w:ind w:left="36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222FA46">
      <w:start w:val="1"/>
      <w:numFmt w:val="decimal"/>
      <w:lvlText w:val="%7"/>
      <w:lvlJc w:val="left"/>
      <w:pPr>
        <w:ind w:left="43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DCA302">
      <w:start w:val="1"/>
      <w:numFmt w:val="lowerLetter"/>
      <w:lvlText w:val="%8"/>
      <w:lvlJc w:val="left"/>
      <w:pPr>
        <w:ind w:left="51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3628CF8">
      <w:start w:val="1"/>
      <w:numFmt w:val="lowerRoman"/>
      <w:lvlText w:val="%9"/>
      <w:lvlJc w:val="left"/>
      <w:pPr>
        <w:ind w:left="58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9916DF"/>
    <w:multiLevelType w:val="hybridMultilevel"/>
    <w:tmpl w:val="3DD0C470"/>
    <w:lvl w:ilvl="0" w:tplc="947859D0">
      <w:start w:val="1"/>
      <w:numFmt w:val="bullet"/>
      <w:lvlText w:val="➢"/>
      <w:lvlJc w:val="left"/>
      <w:pPr>
        <w:ind w:left="85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2B41B26">
      <w:start w:val="1"/>
      <w:numFmt w:val="bullet"/>
      <w:lvlText w:val="❑"/>
      <w:lvlJc w:val="left"/>
      <w:pPr>
        <w:ind w:left="85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AAA0AFA">
      <w:start w:val="1"/>
      <w:numFmt w:val="bullet"/>
      <w:lvlText w:val="▪"/>
      <w:lvlJc w:val="left"/>
      <w:pPr>
        <w:ind w:left="193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63529568">
      <w:start w:val="1"/>
      <w:numFmt w:val="bullet"/>
      <w:lvlText w:val="•"/>
      <w:lvlJc w:val="left"/>
      <w:pPr>
        <w:ind w:left="265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E4A2B8C">
      <w:start w:val="1"/>
      <w:numFmt w:val="bullet"/>
      <w:lvlText w:val="o"/>
      <w:lvlJc w:val="left"/>
      <w:pPr>
        <w:ind w:left="337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65AD9F6">
      <w:start w:val="1"/>
      <w:numFmt w:val="bullet"/>
      <w:lvlText w:val="▪"/>
      <w:lvlJc w:val="left"/>
      <w:pPr>
        <w:ind w:left="409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92AF79A">
      <w:start w:val="1"/>
      <w:numFmt w:val="bullet"/>
      <w:lvlText w:val="•"/>
      <w:lvlJc w:val="left"/>
      <w:pPr>
        <w:ind w:left="481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BF412F2">
      <w:start w:val="1"/>
      <w:numFmt w:val="bullet"/>
      <w:lvlText w:val="o"/>
      <w:lvlJc w:val="left"/>
      <w:pPr>
        <w:ind w:left="553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EB0F306">
      <w:start w:val="1"/>
      <w:numFmt w:val="bullet"/>
      <w:lvlText w:val="▪"/>
      <w:lvlJc w:val="left"/>
      <w:pPr>
        <w:ind w:left="625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778C0872"/>
    <w:multiLevelType w:val="hybridMultilevel"/>
    <w:tmpl w:val="49A224A8"/>
    <w:lvl w:ilvl="0" w:tplc="E610A7D0">
      <w:numFmt w:val="bullet"/>
      <w:lvlText w:val="-"/>
      <w:lvlJc w:val="left"/>
      <w:pPr>
        <w:ind w:left="345" w:hanging="360"/>
      </w:pPr>
      <w:rPr>
        <w:rFonts w:ascii="Calibri" w:eastAsia="Calibri" w:hAnsi="Calibri" w:cs="Calibri"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3" w15:restartNumberingAfterBreak="0">
    <w:nsid w:val="7BB81BAB"/>
    <w:multiLevelType w:val="hybridMultilevel"/>
    <w:tmpl w:val="3224FABA"/>
    <w:lvl w:ilvl="0" w:tplc="57D61BD2">
      <w:start w:val="22"/>
      <w:numFmt w:val="decimal"/>
      <w:lvlText w:val="%1."/>
      <w:lvlJc w:val="left"/>
      <w:pPr>
        <w:ind w:left="4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78AA32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218271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F129FF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936B80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FC088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F3CB48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EF492B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A82CD1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92"/>
    <w:rsid w:val="005208C9"/>
    <w:rsid w:val="0061606D"/>
    <w:rsid w:val="00BD3CBD"/>
    <w:rsid w:val="00DB4629"/>
    <w:rsid w:val="00E43585"/>
    <w:rsid w:val="00EC15A0"/>
    <w:rsid w:val="00F26973"/>
    <w:rsid w:val="00F76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49CE"/>
  <w15:docId w15:val="{4B9430F3-C4A6-47A4-9191-4EBC0B80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1" w:line="247" w:lineRule="auto"/>
      <w:ind w:left="10" w:right="5" w:hanging="10"/>
      <w:jc w:val="both"/>
    </w:pPr>
    <w:rPr>
      <w:rFonts w:ascii="Calibri" w:eastAsia="Calibri" w:hAnsi="Calibri" w:cs="Calibri"/>
      <w:color w:val="000000"/>
      <w:sz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D3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0193">
      <w:bodyDiv w:val="1"/>
      <w:marLeft w:val="0"/>
      <w:marRight w:val="0"/>
      <w:marTop w:val="0"/>
      <w:marBottom w:val="0"/>
      <w:divBdr>
        <w:top w:val="none" w:sz="0" w:space="0" w:color="auto"/>
        <w:left w:val="none" w:sz="0" w:space="0" w:color="auto"/>
        <w:bottom w:val="none" w:sz="0" w:space="0" w:color="auto"/>
        <w:right w:val="none" w:sz="0" w:space="0" w:color="auto"/>
      </w:divBdr>
    </w:div>
    <w:div w:id="1008143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zscr.cz/clanek/katalog-vydanych-technickych-podminek-pozarni-techniky-a-vecnych-prostredku.aspx" TargetMode="External"/><Relationship Id="rId13" Type="http://schemas.openxmlformats.org/officeDocument/2006/relationships/hyperlink" Target="http://www.hzscr.cz/clanek/katalog-vydanych-technickych-podminek-pozarni-techniky-a-vecnych-prostredku.aspx" TargetMode="External"/><Relationship Id="rId18" Type="http://schemas.openxmlformats.org/officeDocument/2006/relationships/hyperlink" Target="http://www.hzscr.cz/clanek/katalog-vydanych-technickych-podminek-pozarni-techniky-a-vecnych-prostredku.asp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hzscr.cz/clanek/katalog-vydanych-technickych-podminek-pozarni-techniky-a-vecnych-prostredku.aspx" TargetMode="External"/><Relationship Id="rId7" Type="http://schemas.openxmlformats.org/officeDocument/2006/relationships/hyperlink" Target="http://www.hzscr.cz/clanek/katalog-vydanych-technickych-podminek-pozarni-techniky-a-vecnych-prostredku.aspx" TargetMode="External"/><Relationship Id="rId12" Type="http://schemas.openxmlformats.org/officeDocument/2006/relationships/hyperlink" Target="http://www.hzscr.cz/clanek/katalog-vydanych-technickych-podminek-pozarni-techniky-a-vecnych-prostredku.aspx" TargetMode="External"/><Relationship Id="rId17" Type="http://schemas.openxmlformats.org/officeDocument/2006/relationships/hyperlink" Target="http://www.hzscr.cz/clanek/katalog-vydanych-technickych-podminek-pozarni-techniky-a-vecnych-prostredku.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zscr.cz/clanek/katalog-vydanych-technickych-podminek-pozarni-techniky-a-vecnych-prostredku.aspx" TargetMode="External"/><Relationship Id="rId20" Type="http://schemas.openxmlformats.org/officeDocument/2006/relationships/hyperlink" Target="http://www.hzscr.cz/clanek/katalog-vydanych-technickych-podminek-pozarni-techniky-a-vecnych-prostredku.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scr.cz/clanek/katalog-vydanych-technickych-podminek-pozarni-techniky-a-vecnych-prostredku.aspx" TargetMode="External"/><Relationship Id="rId24" Type="http://schemas.openxmlformats.org/officeDocument/2006/relationships/hyperlink" Target="http://www.hzscr.cz/clanek/katalog-vydanych-technickych-podminek-pozarni-techniky-a-vecnych-prostredku.aspx" TargetMode="External"/><Relationship Id="rId5" Type="http://schemas.openxmlformats.org/officeDocument/2006/relationships/footnotes" Target="footnotes.xml"/><Relationship Id="rId15" Type="http://schemas.openxmlformats.org/officeDocument/2006/relationships/hyperlink" Target="http://www.hzscr.cz/clanek/katalog-vydanych-technickych-podminek-pozarni-techniky-a-vecnych-prostredku.aspx" TargetMode="External"/><Relationship Id="rId23" Type="http://schemas.openxmlformats.org/officeDocument/2006/relationships/hyperlink" Target="http://www.hzscr.cz/clanek/katalog-vydanych-technickych-podminek-pozarni-techniky-a-vecnych-prostredku.aspx" TargetMode="External"/><Relationship Id="rId28" Type="http://schemas.openxmlformats.org/officeDocument/2006/relationships/fontTable" Target="fontTable.xml"/><Relationship Id="rId10" Type="http://schemas.openxmlformats.org/officeDocument/2006/relationships/hyperlink" Target="http://www.hzscr.cz/clanek/katalog-vydanych-technickych-podminek-pozarni-techniky-a-vecnych-prostredku.aspx" TargetMode="External"/><Relationship Id="rId19" Type="http://schemas.openxmlformats.org/officeDocument/2006/relationships/hyperlink" Target="http://www.hzscr.cz/clanek/katalog-vydanych-technickych-podminek-pozarni-techniky-a-vecnych-prostredku.aspx" TargetMode="External"/><Relationship Id="rId4" Type="http://schemas.openxmlformats.org/officeDocument/2006/relationships/webSettings" Target="webSettings.xml"/><Relationship Id="rId9" Type="http://schemas.openxmlformats.org/officeDocument/2006/relationships/hyperlink" Target="http://www.hzscr.cz/clanek/katalog-vydanych-technickych-podminek-pozarni-techniky-a-vecnych-prostredku.aspx" TargetMode="External"/><Relationship Id="rId14" Type="http://schemas.openxmlformats.org/officeDocument/2006/relationships/hyperlink" Target="http://www.hzscr.cz/clanek/katalog-vydanych-technickych-podminek-pozarni-techniky-a-vecnych-prostredku.aspx" TargetMode="External"/><Relationship Id="rId22" Type="http://schemas.openxmlformats.org/officeDocument/2006/relationships/hyperlink" Target="http://www.hzscr.cz/clanek/katalog-vydanych-technickych-podminek-pozarni-techniky-a-vecnych-prostredku.aspx" TargetMode="External"/><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1584</Words>
  <Characters>9346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Kouřilová Natálie, Bc.</dc:creator>
  <cp:keywords/>
  <cp:lastModifiedBy>Kouřilová Natálie, Bc.</cp:lastModifiedBy>
  <cp:revision>5</cp:revision>
  <dcterms:created xsi:type="dcterms:W3CDTF">2025-11-07T08:53:00Z</dcterms:created>
  <dcterms:modified xsi:type="dcterms:W3CDTF">2025-11-10T14:37:00Z</dcterms:modified>
</cp:coreProperties>
</file>